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D02B0EC" w14:textId="77777777" w:rsidR="001372F9" w:rsidRDefault="001372F9" w:rsidP="001372F9">
      <w:pPr>
        <w:spacing w:before="240" w:after="0" w:line="257" w:lineRule="auto"/>
        <w:jc w:val="center"/>
        <w:rPr>
          <w:rFonts w:ascii="Tenorite" w:eastAsia="Calibri" w:hAnsi="Tenorite" w:cs="Calibri"/>
          <w:b/>
          <w:bCs/>
          <w:sz w:val="28"/>
          <w:szCs w:val="28"/>
          <w:lang w:val="fr-FR"/>
        </w:rPr>
      </w:pPr>
      <w:r w:rsidRPr="00C62BA9">
        <w:rPr>
          <w:rFonts w:ascii="Tenorite" w:hAnsi="Tenorite"/>
          <w:noProof/>
        </w:rPr>
        <w:drawing>
          <wp:anchor distT="0" distB="0" distL="114300" distR="114300" simplePos="0" relativeHeight="251659264" behindDoc="1" locked="0" layoutInCell="1" allowOverlap="1" wp14:anchorId="370F2803" wp14:editId="4A519AF8">
            <wp:simplePos x="0" y="0"/>
            <wp:positionH relativeFrom="margin">
              <wp:posOffset>777240</wp:posOffset>
            </wp:positionH>
            <wp:positionV relativeFrom="margin">
              <wp:posOffset>-577901</wp:posOffset>
            </wp:positionV>
            <wp:extent cx="4176395" cy="1149350"/>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639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A4445" w14:textId="77777777" w:rsidR="001372F9" w:rsidRDefault="001372F9" w:rsidP="001372F9">
      <w:pPr>
        <w:spacing w:before="240" w:after="0" w:line="257" w:lineRule="auto"/>
        <w:jc w:val="center"/>
        <w:rPr>
          <w:rFonts w:ascii="Tenorite" w:eastAsia="Calibri" w:hAnsi="Tenorite" w:cs="Calibri"/>
          <w:b/>
          <w:bCs/>
          <w:sz w:val="28"/>
          <w:szCs w:val="28"/>
          <w:lang w:val="fr-FR"/>
        </w:rPr>
      </w:pPr>
    </w:p>
    <w:p w14:paraId="2DEB3D0F" w14:textId="4DD1781B" w:rsidR="004D1761" w:rsidRPr="004D1761" w:rsidRDefault="004D1761" w:rsidP="004D1761">
      <w:pPr>
        <w:spacing w:before="240" w:after="0" w:line="257" w:lineRule="auto"/>
        <w:jc w:val="center"/>
        <w:rPr>
          <w:rFonts w:ascii="Tenorite" w:eastAsia="Calibri" w:hAnsi="Tenorite" w:cs="Calibri"/>
          <w:b/>
          <w:bCs/>
          <w:sz w:val="24"/>
          <w:szCs w:val="24"/>
          <w:lang w:val="fr-FR"/>
        </w:rPr>
      </w:pPr>
      <w:r w:rsidRPr="004D1761">
        <w:rPr>
          <w:rFonts w:ascii="Tenorite" w:eastAsia="Calibri" w:hAnsi="Tenorite" w:cs="Calibri"/>
          <w:b/>
          <w:bCs/>
          <w:sz w:val="24"/>
          <w:szCs w:val="24"/>
          <w:lang w:val="fr-FR"/>
        </w:rPr>
        <w:t xml:space="preserve">Structural </w:t>
      </w:r>
      <w:proofErr w:type="spellStart"/>
      <w:proofErr w:type="gramStart"/>
      <w:r w:rsidRPr="004D1761">
        <w:rPr>
          <w:rFonts w:ascii="Tenorite" w:eastAsia="Calibri" w:hAnsi="Tenorite" w:cs="Calibri"/>
          <w:b/>
          <w:bCs/>
          <w:sz w:val="24"/>
          <w:szCs w:val="24"/>
          <w:lang w:val="fr-FR"/>
        </w:rPr>
        <w:t>Asymmetry</w:t>
      </w:r>
      <w:proofErr w:type="spellEnd"/>
      <w:r w:rsidRPr="004D1761">
        <w:rPr>
          <w:rFonts w:ascii="Tenorite" w:eastAsia="Calibri" w:hAnsi="Tenorite" w:cs="Calibri"/>
          <w:b/>
          <w:bCs/>
          <w:sz w:val="24"/>
          <w:szCs w:val="24"/>
          <w:lang w:val="fr-FR"/>
        </w:rPr>
        <w:t>:</w:t>
      </w:r>
      <w:proofErr w:type="gramEnd"/>
      <w:r w:rsidRPr="004D1761">
        <w:rPr>
          <w:rFonts w:ascii="Tenorite" w:eastAsia="Calibri" w:hAnsi="Tenorite" w:cs="Calibri"/>
          <w:b/>
          <w:bCs/>
          <w:sz w:val="24"/>
          <w:szCs w:val="24"/>
          <w:lang w:val="fr-FR"/>
        </w:rPr>
        <w:t xml:space="preserve"> </w:t>
      </w:r>
      <w:proofErr w:type="spellStart"/>
      <w:r w:rsidRPr="004D1761">
        <w:rPr>
          <w:rFonts w:ascii="Tenorite" w:eastAsia="Calibri" w:hAnsi="Tenorite" w:cs="Calibri"/>
          <w:b/>
          <w:bCs/>
          <w:sz w:val="24"/>
          <w:szCs w:val="24"/>
          <w:lang w:val="fr-FR"/>
        </w:rPr>
        <w:t>Addressing</w:t>
      </w:r>
      <w:proofErr w:type="spellEnd"/>
      <w:r w:rsidRPr="004D1761">
        <w:rPr>
          <w:rFonts w:ascii="Tenorite" w:eastAsia="Calibri" w:hAnsi="Tenorite" w:cs="Calibri"/>
          <w:b/>
          <w:bCs/>
          <w:sz w:val="24"/>
          <w:szCs w:val="24"/>
          <w:lang w:val="fr-FR"/>
        </w:rPr>
        <w:t xml:space="preserve"> the </w:t>
      </w:r>
      <w:r>
        <w:rPr>
          <w:rFonts w:ascii="Tenorite" w:eastAsia="Calibri" w:hAnsi="Tenorite" w:cs="Calibri"/>
          <w:b/>
          <w:bCs/>
          <w:sz w:val="24"/>
          <w:szCs w:val="24"/>
          <w:lang w:val="fr-FR"/>
        </w:rPr>
        <w:br/>
      </w:r>
      <w:r w:rsidRPr="004D1761">
        <w:rPr>
          <w:rFonts w:ascii="Tenorite" w:eastAsia="Calibri" w:hAnsi="Tenorite" w:cs="Calibri"/>
          <w:b/>
          <w:bCs/>
          <w:sz w:val="24"/>
          <w:szCs w:val="24"/>
          <w:lang w:val="fr-FR"/>
        </w:rPr>
        <w:t>Sovereign Risk of AI Labor Displacement</w:t>
      </w:r>
    </w:p>
    <w:p w14:paraId="5511DDC7" w14:textId="2794146B" w:rsidR="004D1761" w:rsidRPr="004D1761" w:rsidRDefault="004D1761" w:rsidP="001372F9">
      <w:pPr>
        <w:spacing w:before="240" w:after="0" w:line="257" w:lineRule="auto"/>
        <w:jc w:val="center"/>
        <w:rPr>
          <w:rFonts w:ascii="Tenorite" w:eastAsia="Calibri" w:hAnsi="Tenorite" w:cs="Calibri"/>
          <w:b/>
          <w:bCs/>
          <w:sz w:val="24"/>
          <w:szCs w:val="24"/>
        </w:rPr>
      </w:pPr>
      <w:r w:rsidRPr="004D1761">
        <w:rPr>
          <w:rFonts w:ascii="Tenorite" w:eastAsia="Calibri" w:hAnsi="Tenorite" w:cs="Calibri"/>
          <w:b/>
          <w:bCs/>
          <w:sz w:val="24"/>
          <w:szCs w:val="24"/>
        </w:rPr>
        <w:t>Santiago &amp; Company, with participation from</w:t>
      </w:r>
      <w:r>
        <w:rPr>
          <w:rFonts w:ascii="Tenorite" w:eastAsia="Calibri" w:hAnsi="Tenorite" w:cs="Calibri"/>
          <w:b/>
          <w:bCs/>
          <w:sz w:val="24"/>
          <w:szCs w:val="24"/>
        </w:rPr>
        <w:br/>
      </w:r>
      <w:r w:rsidRPr="004D1761">
        <w:rPr>
          <w:rFonts w:ascii="Tenorite" w:eastAsia="Calibri" w:hAnsi="Tenorite" w:cs="Calibri"/>
          <w:b/>
          <w:bCs/>
          <w:sz w:val="24"/>
          <w:szCs w:val="24"/>
        </w:rPr>
        <w:t xml:space="preserve">Dr. Rossana Merola, International </w:t>
      </w:r>
      <w:proofErr w:type="spellStart"/>
      <w:r w:rsidRPr="004D1761">
        <w:rPr>
          <w:rFonts w:ascii="Tenorite" w:eastAsia="Calibri" w:hAnsi="Tenorite" w:cs="Calibri"/>
          <w:b/>
          <w:bCs/>
          <w:sz w:val="24"/>
          <w:szCs w:val="24"/>
        </w:rPr>
        <w:t>Labour</w:t>
      </w:r>
      <w:proofErr w:type="spellEnd"/>
      <w:r w:rsidRPr="004D1761">
        <w:rPr>
          <w:rFonts w:ascii="Tenorite" w:eastAsia="Calibri" w:hAnsi="Tenorite" w:cs="Calibri"/>
          <w:b/>
          <w:bCs/>
          <w:sz w:val="24"/>
          <w:szCs w:val="24"/>
        </w:rPr>
        <w:t xml:space="preserve"> Organization</w:t>
      </w:r>
    </w:p>
    <w:p w14:paraId="5A4FCC6B" w14:textId="2F90B866" w:rsidR="004D1761" w:rsidRPr="004D1761" w:rsidRDefault="004D1761" w:rsidP="004D1761">
      <w:pPr>
        <w:spacing w:before="240" w:after="0" w:line="257" w:lineRule="auto"/>
        <w:jc w:val="center"/>
        <w:rPr>
          <w:rFonts w:ascii="Tenorite" w:eastAsia="Calibri" w:hAnsi="Tenorite" w:cs="Calibri"/>
          <w:b/>
          <w:bCs/>
          <w:sz w:val="24"/>
          <w:szCs w:val="24"/>
        </w:rPr>
      </w:pPr>
      <w:r w:rsidRPr="004D1761">
        <w:rPr>
          <w:rFonts w:ascii="Tenorite" w:eastAsia="Calibri" w:hAnsi="Tenorite" w:cs="Calibri"/>
          <w:b/>
          <w:bCs/>
          <w:sz w:val="24"/>
          <w:szCs w:val="24"/>
        </w:rPr>
        <w:t>Tuesday, 7 July 2026</w:t>
      </w:r>
      <w:r>
        <w:rPr>
          <w:rFonts w:ascii="Tenorite" w:eastAsia="Calibri" w:hAnsi="Tenorite" w:cs="Calibri"/>
          <w:b/>
          <w:bCs/>
          <w:sz w:val="24"/>
          <w:szCs w:val="24"/>
        </w:rPr>
        <w:t xml:space="preserve"> at </w:t>
      </w:r>
      <w:r w:rsidRPr="004D1761">
        <w:rPr>
          <w:rFonts w:ascii="Tenorite" w:eastAsia="Calibri" w:hAnsi="Tenorite" w:cs="Calibri"/>
          <w:b/>
          <w:bCs/>
          <w:sz w:val="24"/>
          <w:szCs w:val="24"/>
        </w:rPr>
        <w:t>13:00–13:45 (UTC+02:00)</w:t>
      </w:r>
      <w:r>
        <w:rPr>
          <w:rFonts w:ascii="Tenorite" w:eastAsia="Calibri" w:hAnsi="Tenorite" w:cs="Calibri"/>
          <w:b/>
          <w:bCs/>
          <w:sz w:val="24"/>
          <w:szCs w:val="24"/>
        </w:rPr>
        <w:t xml:space="preserve">; </w:t>
      </w:r>
      <w:r w:rsidRPr="004D1761">
        <w:rPr>
          <w:rFonts w:ascii="Tenorite" w:eastAsia="Calibri" w:hAnsi="Tenorite" w:cs="Calibri"/>
          <w:b/>
          <w:bCs/>
          <w:sz w:val="24"/>
          <w:szCs w:val="24"/>
        </w:rPr>
        <w:t xml:space="preserve">Room E, ITU </w:t>
      </w:r>
      <w:proofErr w:type="spellStart"/>
      <w:r w:rsidRPr="004D1761">
        <w:rPr>
          <w:rFonts w:ascii="Tenorite" w:eastAsia="Calibri" w:hAnsi="Tenorite" w:cs="Calibri"/>
          <w:b/>
          <w:bCs/>
          <w:sz w:val="24"/>
          <w:szCs w:val="24"/>
        </w:rPr>
        <w:t>Varembé</w:t>
      </w:r>
      <w:proofErr w:type="spellEnd"/>
      <w:r w:rsidRPr="004D1761">
        <w:rPr>
          <w:rFonts w:ascii="Tenorite" w:eastAsia="Calibri" w:hAnsi="Tenorite" w:cs="Calibri"/>
          <w:b/>
          <w:bCs/>
          <w:sz w:val="24"/>
          <w:szCs w:val="24"/>
        </w:rPr>
        <w:t xml:space="preserve"> Building</w:t>
      </w:r>
    </w:p>
    <w:p w14:paraId="60C93D0F" w14:textId="043825F6" w:rsidR="004D1761" w:rsidRPr="00C62BA9" w:rsidRDefault="004D1761" w:rsidP="001372F9">
      <w:pPr>
        <w:spacing w:before="240" w:after="0" w:line="257" w:lineRule="auto"/>
        <w:jc w:val="center"/>
        <w:rPr>
          <w:rFonts w:ascii="Tenorite" w:eastAsia="Calibri" w:hAnsi="Tenorite" w:cs="Calibri"/>
          <w:b/>
          <w:bCs/>
          <w:sz w:val="24"/>
          <w:szCs w:val="24"/>
        </w:rPr>
      </w:pPr>
      <w:r w:rsidRPr="004D1761">
        <w:rPr>
          <w:rFonts w:ascii="Tenorite" w:eastAsia="Calibri" w:hAnsi="Tenorite" w:cs="Calibri"/>
          <w:b/>
          <w:bCs/>
          <w:sz w:val="24"/>
          <w:szCs w:val="24"/>
        </w:rPr>
        <w:t>https://www.itu.int/net4/wsis/forum/2026/Agenda/Session/196</w:t>
      </w:r>
    </w:p>
    <w:p w14:paraId="0A2F7F04" w14:textId="77777777" w:rsidR="001372F9" w:rsidRPr="00C62BA9" w:rsidRDefault="001372F9" w:rsidP="001372F9">
      <w:pPr>
        <w:spacing w:before="240" w:after="0" w:line="257" w:lineRule="auto"/>
        <w:rPr>
          <w:rFonts w:ascii="Tenorite" w:hAnsi="Tenorite"/>
          <w:sz w:val="22"/>
          <w:szCs w:val="22"/>
        </w:rPr>
      </w:pPr>
    </w:p>
    <w:p w14:paraId="5B287C71" w14:textId="2DA954AB" w:rsidR="001372F9" w:rsidRPr="00C62BA9" w:rsidRDefault="001372F9" w:rsidP="001372F9">
      <w:pPr>
        <w:spacing w:after="0"/>
        <w:rPr>
          <w:rFonts w:ascii="Tenorite" w:eastAsia="Calibri" w:hAnsi="Tenorite" w:cs="Calibri"/>
          <w:b/>
          <w:bCs/>
          <w:sz w:val="22"/>
          <w:szCs w:val="22"/>
        </w:rPr>
      </w:pPr>
      <w:r w:rsidRPr="00C62BA9">
        <w:rPr>
          <w:rFonts w:ascii="Tenorite" w:eastAsia="Calibri" w:hAnsi="Tenorite" w:cs="Calibri"/>
          <w:b/>
          <w:bCs/>
          <w:sz w:val="22"/>
          <w:szCs w:val="22"/>
        </w:rPr>
        <w:t>Key Issues discussed</w:t>
      </w:r>
      <w:r w:rsidR="0031700C">
        <w:rPr>
          <w:rFonts w:ascii="Tenorite" w:eastAsia="Calibri" w:hAnsi="Tenorite" w:cs="Calibri"/>
          <w:b/>
          <w:bCs/>
          <w:sz w:val="22"/>
          <w:szCs w:val="22"/>
        </w:rPr>
        <w:t>:</w:t>
      </w:r>
    </w:p>
    <w:p w14:paraId="690AF2C5" w14:textId="5957F724" w:rsidR="004D1761" w:rsidRPr="004D1761" w:rsidRDefault="004D1761" w:rsidP="004D1761">
      <w:pPr>
        <w:pStyle w:val="ListParagraph"/>
        <w:numPr>
          <w:ilvl w:val="0"/>
          <w:numId w:val="6"/>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The session examined the structural mismatch between the speed of AI capability deployment and the slower pace of institutional response. AI adoption is advancing on a timeline measured in months, while national workforce, education, and AI-governance reforms often require years to reach operational milestones.</w:t>
      </w:r>
      <w:r w:rsidRPr="004D1761">
        <w:rPr>
          <w:rFonts w:ascii="Tenorite" w:eastAsia="Calibri" w:hAnsi="Tenorite" w:cs="Calibri"/>
          <w:sz w:val="21"/>
          <w:szCs w:val="21"/>
        </w:rPr>
        <w:br/>
      </w:r>
    </w:p>
    <w:p w14:paraId="6410620E" w14:textId="1EB0F772" w:rsidR="004D1761" w:rsidRPr="004D1761" w:rsidRDefault="004D1761" w:rsidP="004D1761">
      <w:pPr>
        <w:pStyle w:val="ListParagraph"/>
        <w:numPr>
          <w:ilvl w:val="0"/>
          <w:numId w:val="6"/>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Participants discussed why this mismatch is especially relevant for service-export economies, where digitally delivered services support formal employment, export receipts, foreign-exchange earnings, household consumption, and tax-base stability.</w:t>
      </w:r>
      <w:r w:rsidRPr="004D1761">
        <w:rPr>
          <w:rFonts w:ascii="Tenorite" w:eastAsia="Calibri" w:hAnsi="Tenorite" w:cs="Calibri"/>
          <w:sz w:val="21"/>
          <w:szCs w:val="21"/>
        </w:rPr>
        <w:br/>
      </w:r>
    </w:p>
    <w:p w14:paraId="638EA1E7" w14:textId="0611A251" w:rsidR="004D1761" w:rsidRPr="004D1761" w:rsidRDefault="004D1761" w:rsidP="004D1761">
      <w:pPr>
        <w:pStyle w:val="ListParagraph"/>
        <w:numPr>
          <w:ilvl w:val="0"/>
          <w:numId w:val="6"/>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 xml:space="preserve">The session emphasized that the issue should not be framed as a prediction of immediate job displacement. The more practical concern is whether governments have early-warning instruments in place before </w:t>
      </w:r>
      <w:proofErr w:type="spellStart"/>
      <w:r w:rsidRPr="004D1761">
        <w:rPr>
          <w:rFonts w:ascii="Tenorite" w:eastAsia="Calibri" w:hAnsi="Tenorite" w:cs="Calibri"/>
          <w:sz w:val="21"/>
          <w:szCs w:val="21"/>
        </w:rPr>
        <w:t>labour</w:t>
      </w:r>
      <w:proofErr w:type="spellEnd"/>
      <w:r w:rsidRPr="004D1761">
        <w:rPr>
          <w:rFonts w:ascii="Tenorite" w:eastAsia="Calibri" w:hAnsi="Tenorite" w:cs="Calibri"/>
          <w:sz w:val="21"/>
          <w:szCs w:val="21"/>
        </w:rPr>
        <w:t>-market or fiscal effects become visible in lagging data.</w:t>
      </w:r>
      <w:r w:rsidRPr="004D1761">
        <w:rPr>
          <w:rFonts w:ascii="Tenorite" w:eastAsia="Calibri" w:hAnsi="Tenorite" w:cs="Calibri"/>
          <w:sz w:val="21"/>
          <w:szCs w:val="21"/>
        </w:rPr>
        <w:br/>
      </w:r>
    </w:p>
    <w:p w14:paraId="71E60D8E" w14:textId="378F482D" w:rsidR="004D1761" w:rsidRPr="004D1761" w:rsidRDefault="004D1761" w:rsidP="004D1761">
      <w:pPr>
        <w:pStyle w:val="ListParagraph"/>
        <w:numPr>
          <w:ilvl w:val="0"/>
          <w:numId w:val="6"/>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The discussion highlighted the need to distinguish exposure from displacement. Existing AI exposure indicators are useful signals, but they should not be treated as forecasts of job losses. Their primary value is to guide monitoring, preparedness, and policy sequencing.</w:t>
      </w:r>
    </w:p>
    <w:p w14:paraId="43822174" w14:textId="77777777" w:rsidR="004D1761" w:rsidRPr="004D1761" w:rsidRDefault="004D1761" w:rsidP="004D1761">
      <w:pPr>
        <w:pStyle w:val="ListParagraph"/>
        <w:spacing w:after="0" w:line="240" w:lineRule="auto"/>
        <w:ind w:left="360"/>
        <w:jc w:val="left"/>
        <w:rPr>
          <w:rFonts w:ascii="Tenorite" w:eastAsia="Calibri" w:hAnsi="Tenorite" w:cs="Calibri"/>
          <w:sz w:val="21"/>
          <w:szCs w:val="21"/>
        </w:rPr>
      </w:pPr>
    </w:p>
    <w:p w14:paraId="21A2FD58" w14:textId="6D8C9EFE" w:rsidR="004D1761" w:rsidRPr="004D1761" w:rsidRDefault="004D1761" w:rsidP="004D1761">
      <w:pPr>
        <w:pStyle w:val="ListParagraph"/>
        <w:numPr>
          <w:ilvl w:val="0"/>
          <w:numId w:val="6"/>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The session introduced the AI Workforce Stability Architecture (AWSA) as a design-stage fiscal-resilience framework. AWSA combines demand-side exposure mapping, fiscal-sensitivity thresholds, and velocity-aware transition sequencing.</w:t>
      </w:r>
      <w:r w:rsidRPr="004D1761">
        <w:rPr>
          <w:rFonts w:ascii="Tenorite" w:eastAsia="Calibri" w:hAnsi="Tenorite" w:cs="Calibri"/>
          <w:sz w:val="21"/>
          <w:szCs w:val="21"/>
        </w:rPr>
        <w:br/>
      </w:r>
    </w:p>
    <w:p w14:paraId="04DDDD15" w14:textId="01328A58" w:rsidR="004D1761" w:rsidRPr="004D1761" w:rsidRDefault="004D1761" w:rsidP="004D1761">
      <w:pPr>
        <w:pStyle w:val="ListParagraph"/>
        <w:numPr>
          <w:ilvl w:val="0"/>
          <w:numId w:val="6"/>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 xml:space="preserve">A central issue was the absence of fiscal trigger logic in existing AI, </w:t>
      </w:r>
      <w:proofErr w:type="spellStart"/>
      <w:r w:rsidRPr="004D1761">
        <w:rPr>
          <w:rFonts w:ascii="Tenorite" w:eastAsia="Calibri" w:hAnsi="Tenorite" w:cs="Calibri"/>
          <w:sz w:val="21"/>
          <w:szCs w:val="21"/>
        </w:rPr>
        <w:t>labour</w:t>
      </w:r>
      <w:proofErr w:type="spellEnd"/>
      <w:r w:rsidRPr="004D1761">
        <w:rPr>
          <w:rFonts w:ascii="Tenorite" w:eastAsia="Calibri" w:hAnsi="Tenorite" w:cs="Calibri"/>
          <w:sz w:val="21"/>
          <w:szCs w:val="21"/>
        </w:rPr>
        <w:t>, and digital-governance frameworks. Current frameworks provide valuable principles, exposure measures, and governance machinery, but they generally do not link policy escalation to export-revenue, foreign-exchange, remittance, or tax-base thresholds.</w:t>
      </w:r>
      <w:r w:rsidRPr="004D1761">
        <w:rPr>
          <w:rFonts w:ascii="Tenorite" w:eastAsia="Calibri" w:hAnsi="Tenorite" w:cs="Calibri"/>
          <w:sz w:val="21"/>
          <w:szCs w:val="21"/>
        </w:rPr>
        <w:br/>
      </w:r>
    </w:p>
    <w:p w14:paraId="3B3AD989" w14:textId="5699E79E" w:rsidR="001372F9" w:rsidRPr="004D1761" w:rsidRDefault="004D1761" w:rsidP="004D1761">
      <w:pPr>
        <w:pStyle w:val="ListParagraph"/>
        <w:numPr>
          <w:ilvl w:val="0"/>
          <w:numId w:val="6"/>
        </w:numPr>
        <w:spacing w:before="240" w:after="0" w:line="240" w:lineRule="auto"/>
        <w:rPr>
          <w:rFonts w:ascii="Tenorite" w:eastAsia="Calibri" w:hAnsi="Tenorite" w:cs="Calibri"/>
          <w:sz w:val="21"/>
          <w:szCs w:val="21"/>
        </w:rPr>
      </w:pPr>
      <w:r w:rsidRPr="004D1761">
        <w:rPr>
          <w:rFonts w:ascii="Tenorite" w:eastAsia="Calibri" w:hAnsi="Tenorite" w:cs="Calibri"/>
          <w:sz w:val="21"/>
          <w:szCs w:val="21"/>
        </w:rPr>
        <w:t>The session considered pilot-country relevance, with particular attention to the Philippines, India, and Viet Nam. These countries represent different structural variants: mono-exposure and foreign-exchange criticality, incumbent scale, and future-growth-model exposure.</w:t>
      </w:r>
    </w:p>
    <w:p w14:paraId="5BB8387B" w14:textId="355CF5E1" w:rsidR="001372F9" w:rsidRPr="00C62BA9" w:rsidRDefault="001372F9" w:rsidP="001372F9">
      <w:pPr>
        <w:spacing w:before="240" w:after="0"/>
        <w:rPr>
          <w:rFonts w:ascii="Tenorite" w:eastAsia="Calibri" w:hAnsi="Tenorite" w:cs="Calibri"/>
          <w:color w:val="000000" w:themeColor="text1"/>
          <w:sz w:val="22"/>
          <w:szCs w:val="22"/>
        </w:rPr>
      </w:pPr>
      <w:r>
        <w:rPr>
          <w:rFonts w:ascii="Tenorite" w:eastAsia="Calibri" w:hAnsi="Tenorite" w:cs="Calibri"/>
          <w:b/>
          <w:bCs/>
          <w:color w:val="000000" w:themeColor="text1"/>
          <w:sz w:val="22"/>
          <w:szCs w:val="22"/>
        </w:rPr>
        <w:t>Key</w:t>
      </w:r>
      <w:r w:rsidRPr="00C62BA9">
        <w:rPr>
          <w:rFonts w:ascii="Tenorite" w:eastAsia="Calibri" w:hAnsi="Tenorite" w:cs="Calibri"/>
          <w:b/>
          <w:bCs/>
          <w:color w:val="000000" w:themeColor="text1"/>
          <w:sz w:val="22"/>
          <w:szCs w:val="22"/>
        </w:rPr>
        <w:t xml:space="preserve"> Outcomes of the session</w:t>
      </w:r>
    </w:p>
    <w:p w14:paraId="2500D754" w14:textId="12E98121" w:rsidR="004D1761" w:rsidRPr="004D1761" w:rsidRDefault="004D1761" w:rsidP="004D1761">
      <w:pPr>
        <w:pStyle w:val="ListParagraph"/>
        <w:numPr>
          <w:ilvl w:val="0"/>
          <w:numId w:val="8"/>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 xml:space="preserve">The session advanced a shared framing of AI </w:t>
      </w:r>
      <w:proofErr w:type="spellStart"/>
      <w:r w:rsidRPr="004D1761">
        <w:rPr>
          <w:rFonts w:ascii="Tenorite" w:eastAsia="Calibri" w:hAnsi="Tenorite" w:cs="Calibri"/>
          <w:sz w:val="21"/>
          <w:szCs w:val="21"/>
        </w:rPr>
        <w:t>labour</w:t>
      </w:r>
      <w:proofErr w:type="spellEnd"/>
      <w:r w:rsidRPr="004D1761">
        <w:rPr>
          <w:rFonts w:ascii="Tenorite" w:eastAsia="Calibri" w:hAnsi="Tenorite" w:cs="Calibri"/>
          <w:sz w:val="21"/>
          <w:szCs w:val="21"/>
        </w:rPr>
        <w:t xml:space="preserve">-market transition as not only a </w:t>
      </w:r>
      <w:proofErr w:type="spellStart"/>
      <w:r w:rsidRPr="004D1761">
        <w:rPr>
          <w:rFonts w:ascii="Tenorite" w:eastAsia="Calibri" w:hAnsi="Tenorite" w:cs="Calibri"/>
          <w:sz w:val="21"/>
          <w:szCs w:val="21"/>
        </w:rPr>
        <w:t>labour</w:t>
      </w:r>
      <w:proofErr w:type="spellEnd"/>
      <w:r w:rsidRPr="004D1761">
        <w:rPr>
          <w:rFonts w:ascii="Tenorite" w:eastAsia="Calibri" w:hAnsi="Tenorite" w:cs="Calibri"/>
          <w:sz w:val="21"/>
          <w:szCs w:val="21"/>
        </w:rPr>
        <w:t>-policy issue, but also a fiscal-resilience and macroeconomic-monitoring issue for service-export economies.</w:t>
      </w:r>
    </w:p>
    <w:p w14:paraId="2C51812A" w14:textId="3DD7A1CF" w:rsidR="004D1761" w:rsidRPr="004D1761" w:rsidRDefault="004D1761" w:rsidP="004D1761">
      <w:pPr>
        <w:pStyle w:val="ListParagraph"/>
        <w:numPr>
          <w:ilvl w:val="0"/>
          <w:numId w:val="8"/>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lastRenderedPageBreak/>
        <w:t xml:space="preserve">Participants recognized the importance of monitoring AI transition dynamics before aggregate employment data deteriorates. The session stressed that the reform clock must start early because long-cycle workforce and education reforms cannot be improvised after fiscal or </w:t>
      </w:r>
      <w:proofErr w:type="spellStart"/>
      <w:r w:rsidRPr="004D1761">
        <w:rPr>
          <w:rFonts w:ascii="Tenorite" w:eastAsia="Calibri" w:hAnsi="Tenorite" w:cs="Calibri"/>
          <w:sz w:val="21"/>
          <w:szCs w:val="21"/>
        </w:rPr>
        <w:t>labour</w:t>
      </w:r>
      <w:proofErr w:type="spellEnd"/>
      <w:r w:rsidRPr="004D1761">
        <w:rPr>
          <w:rFonts w:ascii="Tenorite" w:eastAsia="Calibri" w:hAnsi="Tenorite" w:cs="Calibri"/>
          <w:sz w:val="21"/>
          <w:szCs w:val="21"/>
        </w:rPr>
        <w:t>-market stress appears.</w:t>
      </w:r>
    </w:p>
    <w:p w14:paraId="4DD50551" w14:textId="63F8740F" w:rsidR="004D1761" w:rsidRPr="004D1761" w:rsidRDefault="004D1761" w:rsidP="004D1761">
      <w:pPr>
        <w:pStyle w:val="ListParagraph"/>
        <w:numPr>
          <w:ilvl w:val="0"/>
          <w:numId w:val="8"/>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AWSA was presented as a design-stage architecture rather than a deployed instrument. Its purpose is to help governments monitor fiscal exposure, pre-commit response thresholds, and sequence policy action against measured adoption speed.</w:t>
      </w:r>
    </w:p>
    <w:p w14:paraId="0039E532" w14:textId="26707446" w:rsidR="004D1761" w:rsidRPr="004D1761" w:rsidRDefault="004D1761" w:rsidP="004D1761">
      <w:pPr>
        <w:pStyle w:val="ListParagraph"/>
        <w:numPr>
          <w:ilvl w:val="0"/>
          <w:numId w:val="8"/>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The session identified three practical functions that should be tested through country pilots:</w:t>
      </w:r>
    </w:p>
    <w:p w14:paraId="481A70CD" w14:textId="77777777" w:rsidR="004D1761" w:rsidRPr="004D1761" w:rsidRDefault="004D1761" w:rsidP="0031700C">
      <w:pPr>
        <w:numPr>
          <w:ilvl w:val="1"/>
          <w:numId w:val="8"/>
        </w:numPr>
        <w:spacing w:before="100" w:beforeAutospacing="1" w:after="100" w:afterAutospacing="1" w:line="240" w:lineRule="auto"/>
        <w:jc w:val="left"/>
        <w:rPr>
          <w:rFonts w:ascii="Tenorite" w:eastAsia="Calibri" w:hAnsi="Tenorite" w:cs="Calibri"/>
          <w:sz w:val="21"/>
          <w:szCs w:val="21"/>
        </w:rPr>
      </w:pPr>
      <w:r w:rsidRPr="004D1761">
        <w:rPr>
          <w:rFonts w:ascii="Tenorite" w:eastAsia="Calibri" w:hAnsi="Tenorite" w:cs="Calibri"/>
          <w:sz w:val="21"/>
          <w:szCs w:val="21"/>
        </w:rPr>
        <w:t>A baseline grid linking exposed service-export employment and receipts to client-market AI adoption;</w:t>
      </w:r>
    </w:p>
    <w:p w14:paraId="396646CF" w14:textId="77777777" w:rsidR="004D1761" w:rsidRPr="004D1761" w:rsidRDefault="004D1761" w:rsidP="0031700C">
      <w:pPr>
        <w:numPr>
          <w:ilvl w:val="1"/>
          <w:numId w:val="8"/>
        </w:numPr>
        <w:spacing w:before="100" w:beforeAutospacing="1" w:after="100" w:afterAutospacing="1" w:line="240" w:lineRule="auto"/>
        <w:jc w:val="left"/>
        <w:rPr>
          <w:rFonts w:ascii="Tenorite" w:eastAsia="Calibri" w:hAnsi="Tenorite" w:cs="Calibri"/>
          <w:sz w:val="21"/>
          <w:szCs w:val="21"/>
        </w:rPr>
      </w:pPr>
      <w:r w:rsidRPr="004D1761">
        <w:rPr>
          <w:rFonts w:ascii="Tenorite" w:eastAsia="Calibri" w:hAnsi="Tenorite" w:cs="Calibri"/>
          <w:sz w:val="21"/>
          <w:szCs w:val="21"/>
        </w:rPr>
        <w:t>A fiscal-sensitivity threshold annex using the country’s own fiscal and balance-of-payments data;</w:t>
      </w:r>
    </w:p>
    <w:p w14:paraId="23B74F5D" w14:textId="77777777" w:rsidR="004D1761" w:rsidRPr="004D1761" w:rsidRDefault="004D1761" w:rsidP="0031700C">
      <w:pPr>
        <w:numPr>
          <w:ilvl w:val="1"/>
          <w:numId w:val="8"/>
        </w:numPr>
        <w:spacing w:before="100" w:beforeAutospacing="1" w:after="100" w:afterAutospacing="1" w:line="240" w:lineRule="auto"/>
        <w:jc w:val="left"/>
        <w:rPr>
          <w:rFonts w:ascii="Tenorite" w:eastAsia="Calibri" w:hAnsi="Tenorite" w:cs="Calibri"/>
          <w:sz w:val="21"/>
          <w:szCs w:val="21"/>
        </w:rPr>
      </w:pPr>
      <w:r w:rsidRPr="004D1761">
        <w:rPr>
          <w:rFonts w:ascii="Tenorite" w:eastAsia="Calibri" w:hAnsi="Tenorite" w:cs="Calibri"/>
          <w:sz w:val="21"/>
          <w:szCs w:val="21"/>
        </w:rPr>
        <w:t>A transition sequencing protocol with named authorities, response timelines, and pre-financed policy rails.</w:t>
      </w:r>
    </w:p>
    <w:p w14:paraId="4A6C664C" w14:textId="18439322" w:rsidR="004D1761" w:rsidRPr="004D1761" w:rsidRDefault="004D1761" w:rsidP="004D1761">
      <w:pPr>
        <w:pStyle w:val="ListParagraph"/>
        <w:numPr>
          <w:ilvl w:val="0"/>
          <w:numId w:val="8"/>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The discussion clarified that AWSA should complement, not replace, existing work by the ILO, IMF, OECD, UN, and regional institutions. AWSA consumes existing exposure science and adds the fiscal-transmission and timing layers that are not currently operationalized in the audited framework set.</w:t>
      </w:r>
    </w:p>
    <w:p w14:paraId="3B9D3E56" w14:textId="1CF0642E" w:rsidR="004D1761" w:rsidRPr="004D1761" w:rsidRDefault="004D1761" w:rsidP="004D1761">
      <w:pPr>
        <w:pStyle w:val="ListParagraph"/>
        <w:numPr>
          <w:ilvl w:val="0"/>
          <w:numId w:val="8"/>
        </w:numPr>
        <w:spacing w:after="0" w:line="240" w:lineRule="auto"/>
        <w:jc w:val="left"/>
        <w:rPr>
          <w:rFonts w:ascii="Tenorite" w:eastAsia="Calibri" w:hAnsi="Tenorite" w:cs="Calibri"/>
          <w:sz w:val="21"/>
          <w:szCs w:val="21"/>
        </w:rPr>
      </w:pPr>
      <w:r w:rsidRPr="004D1761">
        <w:rPr>
          <w:rFonts w:ascii="Tenorite" w:eastAsia="Calibri" w:hAnsi="Tenorite" w:cs="Calibri"/>
          <w:sz w:val="21"/>
          <w:szCs w:val="21"/>
        </w:rPr>
        <w:t>The session reinforced a key methodological principle: monitor, do not forecast. Triggers should be based on observable fiscal and adoption indicators, with policy judgment retained by a named public authority.</w:t>
      </w:r>
    </w:p>
    <w:p w14:paraId="44D8CED6" w14:textId="1107C4E7" w:rsidR="004D1761" w:rsidRPr="004D1761" w:rsidRDefault="004D1761" w:rsidP="004D1761">
      <w:pPr>
        <w:pStyle w:val="ListParagraph"/>
        <w:numPr>
          <w:ilvl w:val="0"/>
          <w:numId w:val="8"/>
        </w:numPr>
        <w:spacing w:before="240" w:after="0"/>
        <w:rPr>
          <w:rFonts w:ascii="Tenorite" w:eastAsia="Calibri" w:hAnsi="Tenorite" w:cs="Calibri"/>
          <w:sz w:val="21"/>
          <w:szCs w:val="21"/>
        </w:rPr>
      </w:pPr>
      <w:r w:rsidRPr="004D1761">
        <w:rPr>
          <w:rFonts w:ascii="Tenorite" w:eastAsia="Calibri" w:hAnsi="Tenorite" w:cs="Calibri"/>
          <w:sz w:val="21"/>
          <w:szCs w:val="21"/>
        </w:rPr>
        <w:t>The session proposed the development of country pilots using already published data, beginning with economies where digitally delivered services are material to employment, export receipts, and fiscal stability.</w:t>
      </w:r>
    </w:p>
    <w:p w14:paraId="06E6B049" w14:textId="16595CBC" w:rsidR="001372F9" w:rsidRPr="004D1761" w:rsidRDefault="001372F9" w:rsidP="001372F9">
      <w:pPr>
        <w:spacing w:before="240" w:after="0"/>
        <w:rPr>
          <w:rFonts w:ascii="Tenorite" w:eastAsia="Calibri" w:hAnsi="Tenorite" w:cs="Calibri"/>
          <w:b/>
          <w:bCs/>
          <w:sz w:val="21"/>
          <w:szCs w:val="21"/>
        </w:rPr>
      </w:pPr>
      <w:r w:rsidRPr="004D1761">
        <w:rPr>
          <w:rFonts w:ascii="Tenorite" w:eastAsia="Calibri" w:hAnsi="Tenorite" w:cs="Calibri"/>
          <w:b/>
          <w:bCs/>
          <w:sz w:val="21"/>
          <w:szCs w:val="21"/>
        </w:rPr>
        <w:t>Key Recommendations and Forward-Looking Actions</w:t>
      </w:r>
    </w:p>
    <w:p w14:paraId="57093F60" w14:textId="3D21DFAB" w:rsidR="0031700C" w:rsidRPr="0031700C" w:rsidRDefault="0031700C" w:rsidP="0031700C">
      <w:pPr>
        <w:pStyle w:val="ListParagraph"/>
        <w:numPr>
          <w:ilvl w:val="0"/>
          <w:numId w:val="8"/>
        </w:numPr>
        <w:spacing w:after="0" w:line="240" w:lineRule="auto"/>
        <w:ind w:left="360"/>
        <w:jc w:val="left"/>
        <w:rPr>
          <w:rFonts w:ascii="Tenorite" w:eastAsia="Calibri" w:hAnsi="Tenorite" w:cs="Calibri"/>
          <w:sz w:val="21"/>
          <w:szCs w:val="21"/>
        </w:rPr>
      </w:pPr>
      <w:r w:rsidRPr="0031700C">
        <w:rPr>
          <w:rFonts w:ascii="Tenorite" w:eastAsia="Calibri" w:hAnsi="Tenorite" w:cs="Calibri"/>
          <w:sz w:val="21"/>
          <w:szCs w:val="21"/>
        </w:rPr>
        <w:t xml:space="preserve">Governments in service-export economies should conduct national AI transition assessments that integrate </w:t>
      </w:r>
      <w:proofErr w:type="spellStart"/>
      <w:r w:rsidRPr="0031700C">
        <w:rPr>
          <w:rFonts w:ascii="Tenorite" w:eastAsia="Calibri" w:hAnsi="Tenorite" w:cs="Calibri"/>
          <w:sz w:val="21"/>
          <w:szCs w:val="21"/>
        </w:rPr>
        <w:t>labour</w:t>
      </w:r>
      <w:proofErr w:type="spellEnd"/>
      <w:r w:rsidRPr="0031700C">
        <w:rPr>
          <w:rFonts w:ascii="Tenorite" w:eastAsia="Calibri" w:hAnsi="Tenorite" w:cs="Calibri"/>
          <w:sz w:val="21"/>
          <w:szCs w:val="21"/>
        </w:rPr>
        <w:t xml:space="preserve"> exposure, export-revenue dependence, foreign-exchange exposure, remittance sensitivity, and tax-base concentration.</w:t>
      </w:r>
      <w:r>
        <w:rPr>
          <w:rFonts w:ascii="Tenorite" w:eastAsia="Calibri" w:hAnsi="Tenorite" w:cs="Calibri"/>
          <w:sz w:val="21"/>
          <w:szCs w:val="21"/>
        </w:rPr>
        <w:br/>
      </w:r>
    </w:p>
    <w:p w14:paraId="18D11D78" w14:textId="60F8C282" w:rsidR="0031700C" w:rsidRDefault="0031700C" w:rsidP="0031700C">
      <w:pPr>
        <w:pStyle w:val="ListParagraph"/>
        <w:numPr>
          <w:ilvl w:val="0"/>
          <w:numId w:val="8"/>
        </w:numPr>
        <w:spacing w:after="0" w:line="240" w:lineRule="auto"/>
        <w:ind w:left="360"/>
        <w:jc w:val="left"/>
        <w:rPr>
          <w:rFonts w:ascii="Tenorite" w:eastAsia="Calibri" w:hAnsi="Tenorite" w:cs="Calibri"/>
          <w:sz w:val="21"/>
          <w:szCs w:val="21"/>
        </w:rPr>
      </w:pPr>
      <w:r w:rsidRPr="0031700C">
        <w:rPr>
          <w:rFonts w:ascii="Tenorite" w:eastAsia="Calibri" w:hAnsi="Tenorite" w:cs="Calibri"/>
          <w:sz w:val="21"/>
          <w:szCs w:val="21"/>
        </w:rPr>
        <w:t xml:space="preserve">Finance ministries, </w:t>
      </w:r>
      <w:proofErr w:type="spellStart"/>
      <w:r w:rsidRPr="0031700C">
        <w:rPr>
          <w:rFonts w:ascii="Tenorite" w:eastAsia="Calibri" w:hAnsi="Tenorite" w:cs="Calibri"/>
          <w:sz w:val="21"/>
          <w:szCs w:val="21"/>
        </w:rPr>
        <w:t>labour</w:t>
      </w:r>
      <w:proofErr w:type="spellEnd"/>
      <w:r w:rsidRPr="0031700C">
        <w:rPr>
          <w:rFonts w:ascii="Tenorite" w:eastAsia="Calibri" w:hAnsi="Tenorite" w:cs="Calibri"/>
          <w:sz w:val="21"/>
          <w:szCs w:val="21"/>
        </w:rPr>
        <w:t xml:space="preserve"> ministries, central banks, and national statistics offices should jointly develop fiscal-sensitivity thresholds for exposed service-export sectors. These thresholds should be published as part of fiscal-risk monitoring rather than treated as ad hoc crisis tools.</w:t>
      </w:r>
    </w:p>
    <w:p w14:paraId="155A1D47" w14:textId="77777777" w:rsidR="0031700C" w:rsidRPr="0031700C" w:rsidRDefault="0031700C" w:rsidP="0031700C">
      <w:pPr>
        <w:pStyle w:val="ListParagraph"/>
        <w:spacing w:after="0" w:line="240" w:lineRule="auto"/>
        <w:ind w:left="360"/>
        <w:jc w:val="left"/>
        <w:rPr>
          <w:rFonts w:ascii="Tenorite" w:eastAsia="Calibri" w:hAnsi="Tenorite" w:cs="Calibri"/>
          <w:sz w:val="21"/>
          <w:szCs w:val="21"/>
        </w:rPr>
      </w:pPr>
    </w:p>
    <w:p w14:paraId="29644509" w14:textId="1CC5831B" w:rsidR="0031700C" w:rsidRPr="0031700C" w:rsidRDefault="0031700C" w:rsidP="0031700C">
      <w:pPr>
        <w:pStyle w:val="ListParagraph"/>
        <w:numPr>
          <w:ilvl w:val="0"/>
          <w:numId w:val="8"/>
        </w:numPr>
        <w:spacing w:after="0" w:line="240" w:lineRule="auto"/>
        <w:ind w:left="360"/>
        <w:jc w:val="left"/>
        <w:rPr>
          <w:rFonts w:ascii="Tenorite" w:eastAsia="Calibri" w:hAnsi="Tenorite" w:cs="Calibri"/>
          <w:sz w:val="21"/>
          <w:szCs w:val="21"/>
        </w:rPr>
      </w:pPr>
      <w:r w:rsidRPr="0031700C">
        <w:rPr>
          <w:rFonts w:ascii="Tenorite" w:eastAsia="Calibri" w:hAnsi="Tenorite" w:cs="Calibri"/>
          <w:sz w:val="21"/>
          <w:szCs w:val="21"/>
        </w:rPr>
        <w:t>Country pilots should be launched to test the AWSA architecture within one budget cycle. Each pilot should produce a baseline exposure grid, a draft fiscal-threshold annex, and a sequencing protocol with 30/60/90-day response milestones.</w:t>
      </w:r>
      <w:r>
        <w:rPr>
          <w:rFonts w:ascii="Tenorite" w:eastAsia="Calibri" w:hAnsi="Tenorite" w:cs="Calibri"/>
          <w:sz w:val="21"/>
          <w:szCs w:val="21"/>
        </w:rPr>
        <w:br/>
      </w:r>
    </w:p>
    <w:p w14:paraId="06B925D7" w14:textId="78A994FC" w:rsidR="0031700C" w:rsidRPr="0031700C" w:rsidRDefault="0031700C" w:rsidP="0031700C">
      <w:pPr>
        <w:pStyle w:val="ListParagraph"/>
        <w:numPr>
          <w:ilvl w:val="0"/>
          <w:numId w:val="8"/>
        </w:numPr>
        <w:spacing w:after="0" w:line="240" w:lineRule="auto"/>
        <w:ind w:left="360"/>
        <w:jc w:val="left"/>
        <w:rPr>
          <w:rFonts w:ascii="Tenorite" w:eastAsia="Calibri" w:hAnsi="Tenorite" w:cs="Calibri"/>
          <w:sz w:val="21"/>
          <w:szCs w:val="21"/>
        </w:rPr>
      </w:pPr>
      <w:r w:rsidRPr="0031700C">
        <w:rPr>
          <w:rFonts w:ascii="Tenorite" w:eastAsia="Calibri" w:hAnsi="Tenorite" w:cs="Calibri"/>
          <w:sz w:val="21"/>
          <w:szCs w:val="21"/>
        </w:rPr>
        <w:t>International organizations should support the creation of common methods for demand-side exposure mapping, especially the link between client-market AI adoption and service-export receipts in supplier economies.</w:t>
      </w:r>
      <w:r>
        <w:rPr>
          <w:rFonts w:ascii="Tenorite" w:eastAsia="Calibri" w:hAnsi="Tenorite" w:cs="Calibri"/>
          <w:sz w:val="21"/>
          <w:szCs w:val="21"/>
        </w:rPr>
        <w:br/>
      </w:r>
    </w:p>
    <w:p w14:paraId="5B059C16" w14:textId="68A6EE25" w:rsidR="00C52D79" w:rsidRPr="0031700C" w:rsidRDefault="0031700C" w:rsidP="0031700C">
      <w:pPr>
        <w:pStyle w:val="ListParagraph"/>
        <w:numPr>
          <w:ilvl w:val="0"/>
          <w:numId w:val="11"/>
        </w:numPr>
        <w:ind w:left="360"/>
        <w:rPr>
          <w:rFonts w:ascii="Tenorite" w:eastAsia="Calibri" w:hAnsi="Tenorite" w:cs="Calibri"/>
          <w:sz w:val="21"/>
          <w:szCs w:val="21"/>
        </w:rPr>
      </w:pPr>
      <w:r w:rsidRPr="0031700C">
        <w:rPr>
          <w:rFonts w:ascii="Tenorite" w:eastAsia="Calibri" w:hAnsi="Tenorite" w:cs="Calibri"/>
          <w:sz w:val="21"/>
          <w:szCs w:val="21"/>
        </w:rPr>
        <w:t xml:space="preserve">WSIS implementation towards 2035 should include practical monitoring instruments that operationalize the commitment to ensure AI complements and augments human </w:t>
      </w:r>
      <w:proofErr w:type="spellStart"/>
      <w:r w:rsidRPr="0031700C">
        <w:rPr>
          <w:rFonts w:ascii="Tenorite" w:eastAsia="Calibri" w:hAnsi="Tenorite" w:cs="Calibri"/>
          <w:sz w:val="21"/>
          <w:szCs w:val="21"/>
        </w:rPr>
        <w:t>labour</w:t>
      </w:r>
      <w:proofErr w:type="spellEnd"/>
      <w:r w:rsidRPr="0031700C">
        <w:rPr>
          <w:rFonts w:ascii="Tenorite" w:eastAsia="Calibri" w:hAnsi="Tenorite" w:cs="Calibri"/>
          <w:sz w:val="21"/>
          <w:szCs w:val="21"/>
        </w:rPr>
        <w:t>. The next stage is not another forecast, but a set of tested early-warning and response mechanisms that governments can run.</w:t>
      </w:r>
    </w:p>
    <w:sectPr w:rsidR="00C52D79" w:rsidRPr="0031700C" w:rsidSect="001372F9">
      <w:headerReference w:type="default" r:id="rId8"/>
      <w:footerReference w:type="even"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791A94" w14:textId="77777777" w:rsidR="00CE40F7" w:rsidRDefault="00CE40F7">
      <w:pPr>
        <w:spacing w:after="0" w:line="240" w:lineRule="auto"/>
      </w:pPr>
      <w:r>
        <w:separator/>
      </w:r>
    </w:p>
  </w:endnote>
  <w:endnote w:type="continuationSeparator" w:id="0">
    <w:p w14:paraId="3C17AAFF" w14:textId="77777777" w:rsidR="00CE40F7" w:rsidRDefault="00CE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enorite">
    <w:panose1 w:val="00000500000000000000"/>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84C7A4" w14:textId="77777777" w:rsidR="001372F9" w:rsidRDefault="001372F9" w:rsidP="005762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EBAD7B" w14:textId="77777777" w:rsidR="001372F9" w:rsidRDefault="001372F9" w:rsidP="00CC2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51533163"/>
      <w:docPartObj>
        <w:docPartGallery w:val="Page Numbers (Bottom of Page)"/>
        <w:docPartUnique/>
      </w:docPartObj>
    </w:sdtPr>
    <w:sdtContent>
      <w:p w14:paraId="5CBBF3D9" w14:textId="77777777" w:rsidR="001372F9" w:rsidRDefault="001372F9" w:rsidP="68922727">
        <w:pPr>
          <w:pStyle w:val="Footer"/>
        </w:pPr>
        <w:r w:rsidRPr="68922727">
          <w:rPr>
            <w:rStyle w:val="PageNumber"/>
            <w:noProof/>
          </w:rPr>
          <w:fldChar w:fldCharType="begin"/>
        </w:r>
        <w:r w:rsidRPr="68922727">
          <w:rPr>
            <w:rStyle w:val="PageNumber"/>
          </w:rPr>
          <w:instrText xml:space="preserve"> PAGE </w:instrText>
        </w:r>
        <w:r w:rsidRPr="68922727">
          <w:rPr>
            <w:rStyle w:val="PageNumber"/>
          </w:rPr>
          <w:fldChar w:fldCharType="separate"/>
        </w:r>
        <w:r w:rsidRPr="68922727">
          <w:rPr>
            <w:rStyle w:val="PageNumber"/>
            <w:noProof/>
          </w:rPr>
          <w:t>8</w:t>
        </w:r>
        <w:r w:rsidRPr="68922727">
          <w:rPr>
            <w:rStyle w:val="PageNumber"/>
            <w:noProof/>
          </w:rPr>
          <w:fldChar w:fldCharType="end"/>
        </w:r>
      </w:p>
    </w:sdtContent>
  </w:sdt>
  <w:p w14:paraId="3186B016" w14:textId="77777777" w:rsidR="001372F9" w:rsidRDefault="001372F9" w:rsidP="00CC2BDF">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007667" w14:textId="77777777" w:rsidR="00CE40F7" w:rsidRDefault="00CE40F7">
      <w:pPr>
        <w:spacing w:after="0" w:line="240" w:lineRule="auto"/>
      </w:pPr>
      <w:r>
        <w:separator/>
      </w:r>
    </w:p>
  </w:footnote>
  <w:footnote w:type="continuationSeparator" w:id="0">
    <w:p w14:paraId="1413812F" w14:textId="77777777" w:rsidR="00CE40F7" w:rsidRDefault="00CE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E06FCC" w14:textId="77777777" w:rsidR="001372F9" w:rsidRPr="00CC2BDF" w:rsidRDefault="001372F9" w:rsidP="00E01D1A">
    <w:pPr>
      <w:pStyle w:val="Header"/>
      <w:jc w:val="center"/>
    </w:pPr>
    <w:r w:rsidRPr="68922727">
      <w:rPr>
        <w:color w:val="000000" w:themeColor="text1"/>
      </w:rPr>
      <w:t xml:space="preserve">Guidelines for Session </w:t>
    </w:r>
    <w:proofErr w:type="spellStart"/>
    <w:r w:rsidRPr="68922727">
      <w:rPr>
        <w:color w:val="000000" w:themeColor="text1"/>
      </w:rPr>
      <w:t>Organisers</w:t>
    </w:r>
    <w:proofErr w:type="spellEnd"/>
    <w:r w:rsidRPr="68922727">
      <w:rPr>
        <w:color w:val="000000" w:themeColor="text1"/>
      </w:rPr>
      <w:t xml:space="preserve"> – </w:t>
    </w:r>
    <w:r>
      <w:rPr>
        <w:color w:val="000000" w:themeColor="text1"/>
      </w:rPr>
      <w:t>WSIS Forum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100DB1"/>
    <w:multiLevelType w:val="hybridMultilevel"/>
    <w:tmpl w:val="DAE66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7F16F0"/>
    <w:multiLevelType w:val="hybridMultilevel"/>
    <w:tmpl w:val="011C0D14"/>
    <w:lvl w:ilvl="0" w:tplc="0EB0DA3E">
      <w:numFmt w:val="bullet"/>
      <w:lvlText w:val=""/>
      <w:lvlJc w:val="left"/>
      <w:pPr>
        <w:ind w:left="720" w:hanging="360"/>
      </w:pPr>
      <w:rPr>
        <w:rFonts w:ascii="Tenorite" w:eastAsia="Calibri" w:hAnsi="Tenorit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76EB8"/>
    <w:multiLevelType w:val="multilevel"/>
    <w:tmpl w:val="BF2E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2502E"/>
    <w:multiLevelType w:val="hybridMultilevel"/>
    <w:tmpl w:val="9A2C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05929"/>
    <w:multiLevelType w:val="multilevel"/>
    <w:tmpl w:val="6386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83AB3"/>
    <w:multiLevelType w:val="hybridMultilevel"/>
    <w:tmpl w:val="5C825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10397"/>
    <w:multiLevelType w:val="hybridMultilevel"/>
    <w:tmpl w:val="B678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C0658"/>
    <w:multiLevelType w:val="hybridMultilevel"/>
    <w:tmpl w:val="06763938"/>
    <w:lvl w:ilvl="0" w:tplc="0EB0DA3E">
      <w:numFmt w:val="bullet"/>
      <w:lvlText w:val=""/>
      <w:lvlJc w:val="left"/>
      <w:pPr>
        <w:ind w:left="1080" w:hanging="360"/>
      </w:pPr>
      <w:rPr>
        <w:rFonts w:ascii="Tenorite" w:eastAsia="Calibri" w:hAnsi="Tenorite"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E0050F"/>
    <w:multiLevelType w:val="hybridMultilevel"/>
    <w:tmpl w:val="5EDEF5D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9517934">
    <w:abstractNumId w:val="2"/>
  </w:num>
  <w:num w:numId="2" w16cid:durableId="1198007190">
    <w:abstractNumId w:val="8"/>
  </w:num>
  <w:num w:numId="3" w16cid:durableId="994145523">
    <w:abstractNumId w:val="4"/>
  </w:num>
  <w:num w:numId="4" w16cid:durableId="1724790647">
    <w:abstractNumId w:val="1"/>
  </w:num>
  <w:num w:numId="5" w16cid:durableId="367028814">
    <w:abstractNumId w:val="9"/>
  </w:num>
  <w:num w:numId="6" w16cid:durableId="1392077832">
    <w:abstractNumId w:val="10"/>
  </w:num>
  <w:num w:numId="7" w16cid:durableId="843864458">
    <w:abstractNumId w:val="3"/>
  </w:num>
  <w:num w:numId="8" w16cid:durableId="1330332789">
    <w:abstractNumId w:val="6"/>
  </w:num>
  <w:num w:numId="9" w16cid:durableId="1420101497">
    <w:abstractNumId w:val="5"/>
  </w:num>
  <w:num w:numId="10" w16cid:durableId="1005936619">
    <w:abstractNumId w:val="0"/>
  </w:num>
  <w:num w:numId="11" w16cid:durableId="516430375">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1"/>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61"/>
    <w:rsid w:val="001372F9"/>
    <w:rsid w:val="00196280"/>
    <w:rsid w:val="00316E31"/>
    <w:rsid w:val="0031700C"/>
    <w:rsid w:val="003B2F04"/>
    <w:rsid w:val="003C3CE6"/>
    <w:rsid w:val="00433B11"/>
    <w:rsid w:val="00493103"/>
    <w:rsid w:val="004B0AA6"/>
    <w:rsid w:val="004D1761"/>
    <w:rsid w:val="007271FF"/>
    <w:rsid w:val="007A0152"/>
    <w:rsid w:val="009613E6"/>
    <w:rsid w:val="00972A1D"/>
    <w:rsid w:val="00B675AE"/>
    <w:rsid w:val="00B76C9C"/>
    <w:rsid w:val="00C52D79"/>
    <w:rsid w:val="00C72856"/>
    <w:rsid w:val="00CE40F7"/>
    <w:rsid w:val="00FF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B47D"/>
  <w15:chartTrackingRefBased/>
  <w15:docId w15:val="{4C7D8B94-C41A-FB47-9DF1-31633144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F9"/>
    <w:pPr>
      <w:spacing w:after="120" w:line="276" w:lineRule="auto"/>
      <w:jc w:val="both"/>
    </w:pPr>
    <w:rPr>
      <w:rFonts w:eastAsiaTheme="minorEastAsia"/>
      <w:sz w:val="20"/>
      <w:szCs w:val="20"/>
      <w:lang w:val="en-US"/>
    </w:rPr>
  </w:style>
  <w:style w:type="paragraph" w:styleId="Heading1">
    <w:name w:val="heading 1"/>
    <w:basedOn w:val="Normal"/>
    <w:next w:val="Normal"/>
    <w:link w:val="Heading1Char"/>
    <w:uiPriority w:val="9"/>
    <w:qFormat/>
    <w:rsid w:val="0013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7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F9"/>
    <w:rPr>
      <w:rFonts w:eastAsiaTheme="majorEastAsia" w:cstheme="majorBidi"/>
      <w:color w:val="272727" w:themeColor="text1" w:themeTint="D8"/>
    </w:rPr>
  </w:style>
  <w:style w:type="paragraph" w:styleId="Title">
    <w:name w:val="Title"/>
    <w:basedOn w:val="Normal"/>
    <w:next w:val="Normal"/>
    <w:link w:val="TitleChar"/>
    <w:uiPriority w:val="10"/>
    <w:qFormat/>
    <w:rsid w:val="001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F9"/>
    <w:pPr>
      <w:spacing w:before="160"/>
      <w:jc w:val="center"/>
    </w:pPr>
    <w:rPr>
      <w:i/>
      <w:iCs/>
      <w:color w:val="404040" w:themeColor="text1" w:themeTint="BF"/>
    </w:rPr>
  </w:style>
  <w:style w:type="character" w:customStyle="1" w:styleId="QuoteChar">
    <w:name w:val="Quote Char"/>
    <w:basedOn w:val="DefaultParagraphFont"/>
    <w:link w:val="Quote"/>
    <w:uiPriority w:val="29"/>
    <w:rsid w:val="001372F9"/>
    <w:rPr>
      <w:i/>
      <w:iCs/>
      <w:color w:val="404040" w:themeColor="text1" w:themeTint="BF"/>
    </w:rPr>
  </w:style>
  <w:style w:type="paragraph" w:styleId="ListParagraph">
    <w:name w:val="List Paragraph"/>
    <w:basedOn w:val="Normal"/>
    <w:uiPriority w:val="34"/>
    <w:qFormat/>
    <w:rsid w:val="001372F9"/>
    <w:pPr>
      <w:ind w:left="720"/>
      <w:contextualSpacing/>
    </w:pPr>
  </w:style>
  <w:style w:type="character" w:styleId="IntenseEmphasis">
    <w:name w:val="Intense Emphasis"/>
    <w:basedOn w:val="DefaultParagraphFont"/>
    <w:uiPriority w:val="21"/>
    <w:qFormat/>
    <w:rsid w:val="001372F9"/>
    <w:rPr>
      <w:i/>
      <w:iCs/>
      <w:color w:val="2F5496" w:themeColor="accent1" w:themeShade="BF"/>
    </w:rPr>
  </w:style>
  <w:style w:type="paragraph" w:styleId="IntenseQuote">
    <w:name w:val="Intense Quote"/>
    <w:basedOn w:val="Normal"/>
    <w:next w:val="Normal"/>
    <w:link w:val="IntenseQuoteChar"/>
    <w:uiPriority w:val="30"/>
    <w:qFormat/>
    <w:rsid w:val="0013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2F9"/>
    <w:rPr>
      <w:i/>
      <w:iCs/>
      <w:color w:val="2F5496" w:themeColor="accent1" w:themeShade="BF"/>
    </w:rPr>
  </w:style>
  <w:style w:type="character" w:styleId="IntenseReference">
    <w:name w:val="Intense Reference"/>
    <w:basedOn w:val="DefaultParagraphFont"/>
    <w:uiPriority w:val="32"/>
    <w:qFormat/>
    <w:rsid w:val="001372F9"/>
    <w:rPr>
      <w:b/>
      <w:bCs/>
      <w:smallCaps/>
      <w:color w:val="2F5496" w:themeColor="accent1" w:themeShade="BF"/>
      <w:spacing w:val="5"/>
    </w:rPr>
  </w:style>
  <w:style w:type="paragraph" w:styleId="Header">
    <w:name w:val="header"/>
    <w:basedOn w:val="Normal"/>
    <w:link w:val="HeaderChar"/>
    <w:uiPriority w:val="99"/>
    <w:unhideWhenUsed/>
    <w:rsid w:val="00137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2F9"/>
    <w:rPr>
      <w:rFonts w:eastAsiaTheme="minorEastAsia"/>
      <w:sz w:val="20"/>
      <w:szCs w:val="20"/>
      <w:lang w:val="en-US"/>
    </w:rPr>
  </w:style>
  <w:style w:type="paragraph" w:styleId="Footer">
    <w:name w:val="footer"/>
    <w:basedOn w:val="Normal"/>
    <w:link w:val="FooterChar"/>
    <w:uiPriority w:val="99"/>
    <w:unhideWhenUsed/>
    <w:rsid w:val="00137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2F9"/>
    <w:rPr>
      <w:rFonts w:eastAsiaTheme="minorEastAsia"/>
      <w:sz w:val="20"/>
      <w:szCs w:val="20"/>
      <w:lang w:val="en-US"/>
    </w:rPr>
  </w:style>
  <w:style w:type="character" w:styleId="PageNumber">
    <w:name w:val="page number"/>
    <w:basedOn w:val="DefaultParagraphFont"/>
    <w:uiPriority w:val="99"/>
    <w:semiHidden/>
    <w:unhideWhenUsed/>
    <w:rsid w:val="0013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shSantiago/Downloads/WSISForum2026_SessionOutcome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WSISForum2026_SessionOutcomeDocumentTemplate.dotx</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OutcomeDocumentSession</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OutcomeDocumentSession</dc:title>
  <dc:subject/>
  <dc:creator/>
  <cp:keywords/>
  <dc:description/>
  <cp:lastModifiedBy/>
  <cp:revision>1</cp:revision>
  <dcterms:created xsi:type="dcterms:W3CDTF">2026-06-27T15:45:00Z</dcterms:created>
  <dcterms:modified xsi:type="dcterms:W3CDTF">2026-06-27T15:58:00Z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8cd5c-727f-46ce-bb9d-171c1c7ba144_Enabled">
    <vt:lpwstr>true</vt:lpwstr>
  </property>
  <property fmtid="{D5CDD505-2E9C-101B-9397-08002B2CF9AE}" pid="3" name="MSIP_Label_f428cd5c-727f-46ce-bb9d-171c1c7ba144_SetDate">
    <vt:lpwstr>2026-06-27T15:58:13Z</vt:lpwstr>
  </property>
  <property fmtid="{D5CDD505-2E9C-101B-9397-08002B2CF9AE}" pid="4" name="MSIP_Label_f428cd5c-727f-46ce-bb9d-171c1c7ba144_Method">
    <vt:lpwstr>Standard</vt:lpwstr>
  </property>
  <property fmtid="{D5CDD505-2E9C-101B-9397-08002B2CF9AE}" pid="5" name="MSIP_Label_f428cd5c-727f-46ce-bb9d-171c1c7ba144_Name">
    <vt:lpwstr>General Use</vt:lpwstr>
  </property>
  <property fmtid="{D5CDD505-2E9C-101B-9397-08002B2CF9AE}" pid="6" name="MSIP_Label_f428cd5c-727f-46ce-bb9d-171c1c7ba144_SiteId">
    <vt:lpwstr>43f898e5-2dd8-4099-86ad-f69807092263</vt:lpwstr>
  </property>
  <property fmtid="{D5CDD505-2E9C-101B-9397-08002B2CF9AE}" pid="7" name="MSIP_Label_f428cd5c-727f-46ce-bb9d-171c1c7ba144_ActionId">
    <vt:lpwstr>86398d77-272f-4069-b027-c9ffd81d8f62</vt:lpwstr>
  </property>
  <property fmtid="{D5CDD505-2E9C-101B-9397-08002B2CF9AE}" pid="8" name="MSIP_Label_f428cd5c-727f-46ce-bb9d-171c1c7ba144_ContentBits">
    <vt:lpwstr>0</vt:lpwstr>
  </property>
  <property fmtid="{D5CDD505-2E9C-101B-9397-08002B2CF9AE}" pid="9" name="MSIP_Label_f428cd5c-727f-46ce-bb9d-171c1c7ba144_Tag">
    <vt:lpwstr>50, 3, 0, 1</vt:lpwstr>
  </property>
</Properties>
</file>